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D67DC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02A8E14E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4521AB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08D0F32F" w:rsidR="00D67DC9" w:rsidRPr="00D67DC9" w:rsidRDefault="00D67DC9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</w:rPr>
      </w:pPr>
      <w:r w:rsidRPr="00D67DC9">
        <w:rPr>
          <w:rFonts w:ascii="Titillium Web" w:hAnsi="Titillium Web"/>
          <w:b/>
          <w:bCs/>
          <w:sz w:val="28"/>
          <w:szCs w:val="28"/>
        </w:rPr>
        <w:t>PROGRAMME FORMATION DIRECTEURS J3 et J4</w:t>
      </w:r>
    </w:p>
    <w:p w14:paraId="03E88AFA" w14:textId="02A9F7EC" w:rsidR="00D67DC9" w:rsidRDefault="00D67DC9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</w:rPr>
      </w:pPr>
      <w:r w:rsidRPr="00D67DC9">
        <w:rPr>
          <w:rFonts w:ascii="Titillium Web" w:hAnsi="Titillium Web"/>
        </w:rPr>
        <w:t>Enjeux et défis du directeur d’établissement.</w:t>
      </w:r>
      <w:r>
        <w:rPr>
          <w:rFonts w:ascii="Titillium Web" w:hAnsi="Titillium Web"/>
        </w:rPr>
        <w:t xml:space="preserve"> </w:t>
      </w:r>
      <w:r w:rsidRPr="00D67DC9">
        <w:rPr>
          <w:rFonts w:ascii="Titillium Web" w:hAnsi="Titillium Web"/>
        </w:rPr>
        <w:t xml:space="preserve">Les outils pour mieux diriger.  </w:t>
      </w:r>
    </w:p>
    <w:p w14:paraId="47D51A6C" w14:textId="4CFB2C36" w:rsidR="00D67DC9" w:rsidRPr="00AD3EAC" w:rsidRDefault="00D67DC9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color w:val="FF0000"/>
        </w:rPr>
      </w:pPr>
      <w:r w:rsidRPr="00AD3EAC">
        <w:rPr>
          <w:rFonts w:ascii="Titillium Web" w:hAnsi="Titillium Web"/>
          <w:color w:val="FF0000"/>
        </w:rPr>
        <w:t>Formation à distance</w:t>
      </w:r>
    </w:p>
    <w:p w14:paraId="1C61637A" w14:textId="7E5648A2" w:rsidR="00D67DC9" w:rsidRDefault="00D67DC9" w:rsidP="004521AB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</w:rPr>
      </w:pPr>
    </w:p>
    <w:p w14:paraId="19A6D482" w14:textId="77100341" w:rsidR="00D67DC9" w:rsidRPr="00AD3EAC" w:rsidRDefault="00D67DC9" w:rsidP="004521AB">
      <w:pPr>
        <w:tabs>
          <w:tab w:val="left" w:pos="8338"/>
        </w:tabs>
        <w:spacing w:after="0" w:line="276" w:lineRule="auto"/>
        <w:jc w:val="center"/>
        <w:rPr>
          <w:rFonts w:ascii="Titillium Web" w:eastAsia="Candara" w:hAnsi="Titillium Web" w:cs="Candara"/>
          <w:b/>
          <w:bCs/>
          <w:sz w:val="28"/>
        </w:rPr>
      </w:pPr>
      <w:r w:rsidRPr="00AD3EAC">
        <w:rPr>
          <w:rFonts w:ascii="Titillium Web" w:eastAsia="Candara" w:hAnsi="Titillium Web" w:cs="Candara"/>
          <w:b/>
          <w:bCs/>
          <w:sz w:val="28"/>
        </w:rPr>
        <w:t>Vendredi 19 janvier 2024</w:t>
      </w:r>
    </w:p>
    <w:tbl>
      <w:tblPr>
        <w:tblStyle w:val="TableGrid"/>
        <w:tblW w:w="10485" w:type="dxa"/>
        <w:tblInd w:w="0" w:type="dxa"/>
        <w:tblCellMar>
          <w:top w:w="59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555"/>
        <w:gridCol w:w="8930"/>
      </w:tblGrid>
      <w:tr w:rsidR="00D67DC9" w:rsidRPr="004521AB" w14:paraId="01F96330" w14:textId="77777777" w:rsidTr="004521AB">
        <w:trPr>
          <w:trHeight w:val="1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D7C2" w14:textId="0169814A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9h00-9h15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2A9C" w14:textId="693ED30A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1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Accueil  </w:t>
            </w:r>
          </w:p>
        </w:tc>
      </w:tr>
      <w:tr w:rsidR="00D67DC9" w:rsidRPr="004521AB" w14:paraId="328A34A1" w14:textId="77777777" w:rsidTr="00D67DC9">
        <w:trPr>
          <w:trHeight w:val="6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EAF9" w14:textId="2A7DE95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9h15-10h15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5DA7" w14:textId="67AB76F3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eastAsia="Candara" w:hAnsi="Titillium Web" w:cs="Candara"/>
                <w:b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Inspection académique : avant, pendant, après </w:t>
            </w:r>
          </w:p>
          <w:p w14:paraId="6F6937AF" w14:textId="1C2A6F35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proofErr w:type="spellStart"/>
            <w:r w:rsidRPr="004521AB">
              <w:rPr>
                <w:rFonts w:ascii="Titillium Web" w:eastAsia="Candara" w:hAnsi="Titillium Web" w:cs="Candara"/>
              </w:rPr>
              <w:t>Titiane</w:t>
            </w:r>
            <w:proofErr w:type="spellEnd"/>
            <w:r w:rsidRPr="004521AB">
              <w:rPr>
                <w:rFonts w:ascii="Titillium Web" w:eastAsia="Candara" w:hAnsi="Titillium Web" w:cs="Candara"/>
              </w:rPr>
              <w:t xml:space="preserve"> SALLERON, </w:t>
            </w:r>
            <w:r w:rsidR="004521AB" w:rsidRPr="004521AB">
              <w:rPr>
                <w:rFonts w:ascii="Titillium Web" w:eastAsia="Candara" w:hAnsi="Titillium Web" w:cs="Candara"/>
              </w:rPr>
              <w:t>r</w:t>
            </w:r>
            <w:r w:rsidRPr="004521AB">
              <w:rPr>
                <w:rFonts w:ascii="Titillium Web" w:eastAsia="Candara" w:hAnsi="Titillium Web" w:cs="Candara"/>
              </w:rPr>
              <w:t>esponsable juridique à la Fondation</w:t>
            </w:r>
            <w:r w:rsidRPr="004521AB">
              <w:rPr>
                <w:rFonts w:ascii="Titillium Web" w:eastAsia="Candara" w:hAnsi="Titillium Web" w:cs="Candara"/>
                <w:b/>
                <w:i/>
              </w:rPr>
              <w:t xml:space="preserve"> </w:t>
            </w:r>
          </w:p>
        </w:tc>
      </w:tr>
      <w:tr w:rsidR="00D67DC9" w:rsidRPr="004521AB" w14:paraId="022A26AA" w14:textId="77777777" w:rsidTr="00D67DC9">
        <w:trPr>
          <w:trHeight w:val="7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435" w14:textId="24DA3BD8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10h15-12h15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84FA" w14:textId="380E6DFA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La gestion des conflits (avec parents, enseignants, autres) </w:t>
            </w:r>
          </w:p>
          <w:p w14:paraId="18D017B5" w14:textId="04A859C6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Marc LEGRAND, </w:t>
            </w:r>
            <w:r w:rsidR="004521AB" w:rsidRPr="004521AB">
              <w:rPr>
                <w:rFonts w:ascii="Titillium Web" w:eastAsia="Candara" w:hAnsi="Titillium Web" w:cs="Candara"/>
              </w:rPr>
              <w:t>c</w:t>
            </w:r>
            <w:r w:rsidRPr="004521AB">
              <w:rPr>
                <w:rFonts w:ascii="Titillium Web" w:eastAsia="Candara" w:hAnsi="Titillium Web" w:cs="Candara"/>
              </w:rPr>
              <w:t xml:space="preserve">onsultant </w:t>
            </w:r>
          </w:p>
        </w:tc>
      </w:tr>
      <w:tr w:rsidR="00D67DC9" w:rsidRPr="004521AB" w14:paraId="303B49E5" w14:textId="77777777" w:rsidTr="00D67DC9">
        <w:trPr>
          <w:trHeight w:val="7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0C2B" w14:textId="0A268240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12h15-13h15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A13E" w14:textId="1FD3AD60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 </w:t>
            </w:r>
            <w:r w:rsidRPr="004521AB">
              <w:rPr>
                <w:rFonts w:ascii="Titillium Web" w:eastAsia="Candara" w:hAnsi="Titillium Web" w:cs="Candara"/>
                <w:b/>
              </w:rPr>
              <w:t xml:space="preserve">Méthodologie de recrutement </w:t>
            </w:r>
          </w:p>
          <w:p w14:paraId="66A3AD46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Marc LEGRAND </w:t>
            </w:r>
          </w:p>
        </w:tc>
      </w:tr>
      <w:tr w:rsidR="00D67DC9" w:rsidRPr="004521AB" w14:paraId="71DD3A5E" w14:textId="77777777" w:rsidTr="00AD3EAC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AC82" w14:textId="025F8182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13h15-14h15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DAA9" w14:textId="2AA6E622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i/>
              </w:rPr>
              <w:t xml:space="preserve">Pause déjeuner </w:t>
            </w:r>
          </w:p>
        </w:tc>
      </w:tr>
      <w:tr w:rsidR="00D67DC9" w:rsidRPr="004521AB" w14:paraId="6C4F1D11" w14:textId="77777777" w:rsidTr="00D67DC9">
        <w:trPr>
          <w:trHeight w:val="7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1219" w14:textId="24F80ACE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14h15-15h30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1CEC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Communiquer sur votre école vers l’extérieur </w:t>
            </w:r>
          </w:p>
          <w:p w14:paraId="79B693C0" w14:textId="3801B368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Anne-Françoise de SAINT-ALBIN, responsable de la communication à la Fondation  </w:t>
            </w:r>
          </w:p>
        </w:tc>
      </w:tr>
      <w:tr w:rsidR="00D67DC9" w:rsidRPr="004521AB" w14:paraId="7F0A9B23" w14:textId="77777777" w:rsidTr="00D67DC9">
        <w:trPr>
          <w:trHeight w:val="7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F9CE" w14:textId="5AC34B9E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15h30-16h30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FA9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eastAsia="Candara" w:hAnsi="Titillium Web" w:cs="Candara"/>
                <w:b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Rôle et responsabilité du directeur, retour d’expérience (cas pratiques) </w:t>
            </w:r>
          </w:p>
          <w:p w14:paraId="4FEE2B94" w14:textId="6FECB290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Michel VALADIER, </w:t>
            </w:r>
            <w:r w:rsidR="004521AB" w:rsidRPr="004521AB">
              <w:rPr>
                <w:rFonts w:ascii="Titillium Web" w:eastAsia="Candara" w:hAnsi="Titillium Web" w:cs="Candara"/>
              </w:rPr>
              <w:t>d</w:t>
            </w:r>
            <w:r w:rsidRPr="004521AB">
              <w:rPr>
                <w:rFonts w:ascii="Titillium Web" w:eastAsia="Candara" w:hAnsi="Titillium Web" w:cs="Candara"/>
              </w:rPr>
              <w:t xml:space="preserve">irecteur de la Fondation pour l’école </w:t>
            </w:r>
          </w:p>
        </w:tc>
      </w:tr>
      <w:tr w:rsidR="00D67DC9" w:rsidRPr="004521AB" w14:paraId="421462AD" w14:textId="77777777" w:rsidTr="00D67DC9">
        <w:trPr>
          <w:trHeight w:val="7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8DC4" w14:textId="1138C185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16h30-17h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260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Faire progresser ses collaborateurs : réussir ses entretiens annuels. </w:t>
            </w:r>
          </w:p>
          <w:p w14:paraId="40B3857A" w14:textId="3D914AE4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15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Michel VALADIER</w:t>
            </w:r>
          </w:p>
        </w:tc>
      </w:tr>
    </w:tbl>
    <w:p w14:paraId="231A5A05" w14:textId="77777777" w:rsidR="00D67DC9" w:rsidRPr="00D67DC9" w:rsidRDefault="00D67DC9" w:rsidP="00D67DC9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sz w:val="24"/>
          <w:szCs w:val="24"/>
        </w:rPr>
      </w:pPr>
      <w:r w:rsidRPr="00D67DC9">
        <w:rPr>
          <w:rFonts w:ascii="Titillium Web" w:eastAsia="Candara" w:hAnsi="Titillium Web" w:cs="Candara"/>
          <w:sz w:val="24"/>
          <w:szCs w:val="24"/>
        </w:rPr>
        <w:t xml:space="preserve"> </w:t>
      </w:r>
    </w:p>
    <w:p w14:paraId="44FC3D1F" w14:textId="79C1C7E8" w:rsidR="00D67DC9" w:rsidRPr="00AD3EAC" w:rsidRDefault="00D67DC9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AD3EAC">
        <w:rPr>
          <w:rFonts w:ascii="Titillium Web" w:eastAsia="Candara" w:hAnsi="Titillium Web" w:cs="Candara"/>
          <w:b/>
          <w:bCs/>
          <w:sz w:val="28"/>
          <w:szCs w:val="28"/>
        </w:rPr>
        <w:t>Samedi 20 janvier 2024</w:t>
      </w:r>
    </w:p>
    <w:tbl>
      <w:tblPr>
        <w:tblStyle w:val="TableGrid"/>
        <w:tblW w:w="10485" w:type="dxa"/>
        <w:tblInd w:w="0" w:type="dxa"/>
        <w:tblCellMar>
          <w:top w:w="59" w:type="dxa"/>
          <w:left w:w="139" w:type="dxa"/>
          <w:right w:w="94" w:type="dxa"/>
        </w:tblCellMar>
        <w:tblLook w:val="04A0" w:firstRow="1" w:lastRow="0" w:firstColumn="1" w:lastColumn="0" w:noHBand="0" w:noVBand="1"/>
      </w:tblPr>
      <w:tblGrid>
        <w:gridCol w:w="1555"/>
        <w:gridCol w:w="8930"/>
      </w:tblGrid>
      <w:tr w:rsidR="00D67DC9" w:rsidRPr="004521AB" w14:paraId="05D92E8C" w14:textId="77777777" w:rsidTr="004521AB">
        <w:trPr>
          <w:trHeight w:val="36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96CB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8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9h15-12h15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D48D" w14:textId="77777777" w:rsidR="00D67DC9" w:rsidRPr="004521AB" w:rsidRDefault="00D67DC9" w:rsidP="00AD3EAC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eastAsia="Candara" w:hAnsi="Titillium Web" w:cs="Candara"/>
                <w:b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Formation pratique en droit du travail </w:t>
            </w:r>
          </w:p>
          <w:p w14:paraId="6CC2BCFD" w14:textId="7E15A07A" w:rsidR="00D67DC9" w:rsidRPr="004521AB" w:rsidRDefault="00D67DC9" w:rsidP="00AD3EAC">
            <w:pPr>
              <w:tabs>
                <w:tab w:val="left" w:pos="8338"/>
              </w:tabs>
              <w:spacing w:line="276" w:lineRule="auto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Laurent RIQUELME, </w:t>
            </w:r>
            <w:r w:rsidR="004521AB" w:rsidRPr="004521AB">
              <w:rPr>
                <w:rFonts w:ascii="Titillium Web" w:eastAsia="Candara" w:hAnsi="Titillium Web" w:cs="Candara"/>
              </w:rPr>
              <w:t>avocat</w:t>
            </w:r>
            <w:r w:rsidRPr="004521AB">
              <w:rPr>
                <w:rFonts w:ascii="Titillium Web" w:eastAsia="Candara" w:hAnsi="Titillium Web" w:cs="Candara"/>
              </w:rPr>
              <w:t xml:space="preserve"> à la cour </w:t>
            </w:r>
          </w:p>
        </w:tc>
      </w:tr>
      <w:tr w:rsidR="00D67DC9" w:rsidRPr="004521AB" w14:paraId="3EB88F41" w14:textId="77777777" w:rsidTr="00D67DC9">
        <w:trPr>
          <w:trHeight w:val="5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756A" w14:textId="61444D2E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12h15-12h45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6B6E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6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La gestion des bénévoles </w:t>
            </w:r>
          </w:p>
          <w:p w14:paraId="2B0A219F" w14:textId="7854236D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3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>Denis CHAMPART, responsable Qualité scolaire à la Fondation</w:t>
            </w:r>
            <w:r w:rsidRPr="004521AB">
              <w:rPr>
                <w:rFonts w:ascii="Titillium Web" w:eastAsia="Candara" w:hAnsi="Titillium Web" w:cs="Candara"/>
                <w:b/>
              </w:rPr>
              <w:t xml:space="preserve"> </w:t>
            </w:r>
          </w:p>
        </w:tc>
      </w:tr>
      <w:tr w:rsidR="00D67DC9" w:rsidRPr="004521AB" w14:paraId="76308698" w14:textId="77777777" w:rsidTr="00D67DC9">
        <w:trPr>
          <w:trHeight w:val="3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6D2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12h45-13h45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37B1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4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i/>
              </w:rPr>
              <w:t xml:space="preserve">Pause déjeuner </w:t>
            </w:r>
          </w:p>
        </w:tc>
      </w:tr>
      <w:tr w:rsidR="00D67DC9" w:rsidRPr="004521AB" w14:paraId="5EF4DF33" w14:textId="77777777" w:rsidTr="00D67DC9">
        <w:trPr>
          <w:trHeight w:val="7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7AD1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13h45-15h15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8AB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7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La qualité dans les écoles </w:t>
            </w:r>
          </w:p>
          <w:p w14:paraId="222E22AC" w14:textId="2FD3EBE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6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Denis </w:t>
            </w:r>
            <w:r w:rsidR="00AD3EAC" w:rsidRPr="004521AB">
              <w:rPr>
                <w:rFonts w:ascii="Titillium Web" w:eastAsia="Candara" w:hAnsi="Titillium Web" w:cs="Candara"/>
              </w:rPr>
              <w:t>CHAMPART</w:t>
            </w:r>
            <w:r w:rsidRPr="004521AB">
              <w:rPr>
                <w:rFonts w:ascii="Titillium Web" w:eastAsia="Candara" w:hAnsi="Titillium Web" w:cs="Candara"/>
              </w:rPr>
              <w:t xml:space="preserve"> </w:t>
            </w:r>
          </w:p>
        </w:tc>
      </w:tr>
      <w:tr w:rsidR="00D67DC9" w:rsidRPr="004521AB" w14:paraId="137E65C2" w14:textId="77777777" w:rsidTr="00D67DC9">
        <w:trPr>
          <w:trHeight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82A3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15h15-16h30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A29F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6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Prévention des risques à l’école </w:t>
            </w:r>
          </w:p>
          <w:p w14:paraId="21068DE6" w14:textId="5C6DB3BC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6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Denis </w:t>
            </w:r>
            <w:r w:rsidR="00AD3EAC" w:rsidRPr="004521AB">
              <w:rPr>
                <w:rFonts w:ascii="Titillium Web" w:eastAsia="Candara" w:hAnsi="Titillium Web" w:cs="Candara"/>
              </w:rPr>
              <w:t>CHAMPART</w:t>
            </w:r>
            <w:r w:rsidRPr="004521AB">
              <w:rPr>
                <w:rFonts w:ascii="Titillium Web" w:eastAsia="Candara" w:hAnsi="Titillium Web" w:cs="Candara"/>
              </w:rPr>
              <w:t xml:space="preserve"> </w:t>
            </w:r>
            <w:r w:rsidRPr="004521AB">
              <w:rPr>
                <w:rFonts w:ascii="Titillium Web" w:eastAsia="Candara" w:hAnsi="Titillium Web" w:cs="Candara"/>
                <w:b/>
              </w:rPr>
              <w:t xml:space="preserve"> </w:t>
            </w:r>
          </w:p>
        </w:tc>
      </w:tr>
      <w:tr w:rsidR="00D67DC9" w:rsidRPr="004521AB" w14:paraId="143EA46C" w14:textId="77777777" w:rsidTr="00D67DC9">
        <w:trPr>
          <w:trHeight w:val="5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759A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</w:rPr>
              <w:t xml:space="preserve">16h30-17h15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82A4" w14:textId="77777777" w:rsidR="00D67DC9" w:rsidRPr="004521AB" w:rsidRDefault="00D67DC9" w:rsidP="00D67DC9">
            <w:pPr>
              <w:tabs>
                <w:tab w:val="left" w:pos="8338"/>
              </w:tabs>
              <w:spacing w:line="276" w:lineRule="auto"/>
              <w:ind w:right="43"/>
              <w:jc w:val="center"/>
              <w:rPr>
                <w:rFonts w:ascii="Titillium Web" w:hAnsi="Titillium Web"/>
              </w:rPr>
            </w:pPr>
            <w:r w:rsidRPr="004521AB">
              <w:rPr>
                <w:rFonts w:ascii="Titillium Web" w:eastAsia="Candara" w:hAnsi="Titillium Web" w:cs="Candara"/>
                <w:b/>
              </w:rPr>
              <w:t xml:space="preserve">Échanges et clôture </w:t>
            </w:r>
          </w:p>
        </w:tc>
      </w:tr>
    </w:tbl>
    <w:p w14:paraId="78167954" w14:textId="77777777" w:rsidR="004521AB" w:rsidRDefault="00D67DC9" w:rsidP="004521AB">
      <w:pPr>
        <w:spacing w:after="0"/>
        <w:rPr>
          <w:rFonts w:ascii="Titillium Web" w:eastAsia="Calibri" w:hAnsi="Titillium Web" w:cs="Calibri"/>
        </w:rPr>
      </w:pPr>
      <w:r w:rsidRPr="00D67DC9">
        <w:rPr>
          <w:rFonts w:ascii="Titillium Web" w:eastAsia="Calibri" w:hAnsi="Titillium Web" w:cs="Calibri"/>
          <w:b/>
        </w:rPr>
        <w:lastRenderedPageBreak/>
        <w:t>Objectifs de la formation</w:t>
      </w:r>
      <w:r w:rsidRPr="00D67DC9">
        <w:rPr>
          <w:rFonts w:ascii="Titillium Web" w:eastAsia="Calibri" w:hAnsi="Titillium Web" w:cs="Calibri"/>
        </w:rPr>
        <w:t xml:space="preserve"> : </w:t>
      </w:r>
    </w:p>
    <w:p w14:paraId="440F12CE" w14:textId="113973AB" w:rsidR="00D67DC9" w:rsidRPr="00D67DC9" w:rsidRDefault="00D67DC9" w:rsidP="004521AB">
      <w:pPr>
        <w:spacing w:after="0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</w:rPr>
        <w:t>-</w:t>
      </w:r>
      <w:r w:rsidR="004521AB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 xml:space="preserve">Apporter aux directeurs d’école </w:t>
      </w:r>
      <w:r w:rsidRPr="00D67DC9">
        <w:rPr>
          <w:rFonts w:ascii="Titillium Web" w:eastAsia="Calibri" w:hAnsi="Titillium Web" w:cs="Calibri"/>
        </w:rPr>
        <w:t xml:space="preserve">libre hors contrat </w:t>
      </w:r>
      <w:r w:rsidRPr="00D67DC9">
        <w:rPr>
          <w:rFonts w:ascii="Titillium Web" w:hAnsi="Titillium Web"/>
        </w:rPr>
        <w:t>d’une part les connaissances d’ordre juridique et managérial indispensables au recrutement et à la gestion des personnels et d’autre part des outils concrets pour la gestion d’école.</w:t>
      </w:r>
      <w:r w:rsidRPr="00D67DC9">
        <w:rPr>
          <w:rFonts w:ascii="Titillium Web" w:eastAsia="Calibri" w:hAnsi="Titillium Web" w:cs="Calibri"/>
        </w:rPr>
        <w:t xml:space="preserve"> </w:t>
      </w:r>
    </w:p>
    <w:p w14:paraId="76D0A8FF" w14:textId="64172D2D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</w:rPr>
        <w:t>-</w:t>
      </w:r>
      <w:r w:rsidR="004521AB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eastAsia="Calibri" w:hAnsi="Titillium Web" w:cs="Calibri"/>
        </w:rPr>
        <w:t xml:space="preserve">Transmettre ou approfondir des outils concrets pour optimiser la communication interne, notamment en cas de crise ou conflit </w:t>
      </w:r>
      <w:r w:rsidRPr="00D67DC9">
        <w:rPr>
          <w:rFonts w:ascii="Titillium Web" w:hAnsi="Titillium Web"/>
        </w:rPr>
        <w:t>et la communication vers l’</w:t>
      </w:r>
      <w:r w:rsidRPr="00D67DC9">
        <w:rPr>
          <w:rFonts w:ascii="Titillium Web" w:eastAsia="Calibri" w:hAnsi="Titillium Web" w:cs="Calibri"/>
        </w:rPr>
        <w:t xml:space="preserve">extérieur. </w:t>
      </w:r>
    </w:p>
    <w:p w14:paraId="3DF04296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Prérequis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 xml:space="preserve">: Être directeur d’école en poste ou détenir une expérience concrète de direction d’école ou, à défaut, de travail pédagogique ou d’encadrement dans un établissement scolaire privé hors contrat. </w:t>
      </w:r>
      <w:r w:rsidRPr="00D67DC9">
        <w:rPr>
          <w:rFonts w:ascii="Titillium Web" w:eastAsia="Calibri" w:hAnsi="Titillium Web" w:cs="Calibri"/>
        </w:rPr>
        <w:t xml:space="preserve">Le suivi préalable de la formation « rôle et responsabilités du directeur » (J1 et J2 de la formation des directeurs </w:t>
      </w:r>
      <w:r w:rsidRPr="00D67DC9">
        <w:rPr>
          <w:rFonts w:ascii="Titillium Web" w:hAnsi="Titillium Web"/>
        </w:rPr>
        <w:t>d’école indépendante</w:t>
      </w:r>
      <w:r w:rsidRPr="00D67DC9">
        <w:rPr>
          <w:rFonts w:ascii="Titillium Web" w:eastAsia="Calibri" w:hAnsi="Titillium Web" w:cs="Calibri"/>
        </w:rPr>
        <w:t xml:space="preserve">) </w:t>
      </w:r>
      <w:r w:rsidRPr="00D67DC9">
        <w:rPr>
          <w:rFonts w:ascii="Titillium Web" w:hAnsi="Titillium Web"/>
        </w:rPr>
        <w:t>de l’organisme de formation est un préalable recommandé.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45374963" w14:textId="586E7920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Modalités et délais d’accès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 xml:space="preserve">: remplir un formulaire d’inscription, rédiger une brève lettre de </w:t>
      </w:r>
      <w:r w:rsidRPr="00D67DC9">
        <w:rPr>
          <w:rFonts w:ascii="Titillium Web" w:eastAsia="Calibri" w:hAnsi="Titillium Web" w:cs="Calibri"/>
        </w:rPr>
        <w:t xml:space="preserve">motivation, acquitter le tarif indiqué (le paiement sera restitué intégralement en cas de candidature non retenue), signer la convention de formation et les faire parvenir dans les délais qui seront indiqués </w:t>
      </w:r>
      <w:r w:rsidRPr="00D67DC9">
        <w:rPr>
          <w:rFonts w:ascii="Titillium Web" w:hAnsi="Titillium Web"/>
        </w:rPr>
        <w:t xml:space="preserve">à : Fondation pour l’école, formation directeurs, </w:t>
      </w:r>
      <w:r w:rsidRPr="00D67DC9">
        <w:rPr>
          <w:rFonts w:ascii="Titillium Web" w:eastAsia="Calibri" w:hAnsi="Titillium Web" w:cs="Calibri"/>
        </w:rPr>
        <w:t xml:space="preserve">120 avenue du Général Leclerc, 75014 Paris. Les </w:t>
      </w:r>
      <w:r w:rsidRPr="00D67DC9">
        <w:rPr>
          <w:rFonts w:ascii="Titillium Web" w:hAnsi="Titillium Web"/>
        </w:rPr>
        <w:t xml:space="preserve">candidats seront informés dans un délai indiqué de l’acceptation </w:t>
      </w:r>
      <w:bookmarkStart w:id="0" w:name="_MON_1762697094"/>
      <w:bookmarkEnd w:id="0"/>
      <w:r w:rsidR="009D2EA8">
        <w:rPr>
          <w:rFonts w:ascii="Titillium Web" w:hAnsi="Titillium Web"/>
        </w:rPr>
        <w:object w:dxaOrig="1508" w:dyaOrig="983" w14:anchorId="2129B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9" o:title=""/>
          </v:shape>
          <o:OLEObject Type="Embed" ProgID="Word.Document.12" ShapeID="_x0000_i1025" DrawAspect="Icon" ObjectID="_1762697113" r:id="rId10">
            <o:FieldCodes>\s</o:FieldCodes>
          </o:OLEObject>
        </w:object>
      </w:r>
      <w:r w:rsidRPr="00D67DC9">
        <w:rPr>
          <w:rFonts w:ascii="Titillium Web" w:hAnsi="Titillium Web"/>
        </w:rPr>
        <w:t>ou du rejet de leur candidature.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75072D15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Public visé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 xml:space="preserve">: directeurs d’école </w:t>
      </w:r>
      <w:r w:rsidRPr="00D67DC9">
        <w:rPr>
          <w:rFonts w:ascii="Titillium Web" w:eastAsia="Calibri" w:hAnsi="Titillium Web" w:cs="Calibri"/>
        </w:rPr>
        <w:t>libre hors contrat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2F5981D4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Lieu</w:t>
      </w:r>
      <w:r w:rsidRPr="00D67DC9">
        <w:rPr>
          <w:rFonts w:ascii="Titillium Web" w:eastAsia="Calibri" w:hAnsi="Titillium Web" w:cs="Calibri"/>
        </w:rPr>
        <w:t xml:space="preserve"> : cette formation aura lieu à distance 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17D67DF5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 xml:space="preserve">Modalités pédagogiques </w:t>
      </w:r>
      <w:r w:rsidRPr="00D67DC9">
        <w:rPr>
          <w:rFonts w:ascii="Titillium Web" w:hAnsi="Titillium Web"/>
        </w:rPr>
        <w:t xml:space="preserve">: L’action de formation se déroulera à distance avec un maximum de </w:t>
      </w:r>
      <w:r w:rsidRPr="00D67DC9">
        <w:rPr>
          <w:rFonts w:ascii="Titillium Web" w:eastAsia="Calibri" w:hAnsi="Titillium Web" w:cs="Calibri"/>
        </w:rPr>
        <w:t xml:space="preserve">40 </w:t>
      </w:r>
      <w:r w:rsidRPr="00D67DC9">
        <w:rPr>
          <w:rFonts w:ascii="Titillium Web" w:hAnsi="Titillium Web"/>
        </w:rPr>
        <w:t xml:space="preserve">personnes, toutes équipées d’un ordinateur, afin de garantir un bon déroulement de la formation du </w:t>
      </w:r>
      <w:r w:rsidRPr="00D67DC9">
        <w:rPr>
          <w:rFonts w:ascii="Titillium Web" w:eastAsia="Calibri" w:hAnsi="Titillium Web" w:cs="Calibri"/>
        </w:rPr>
        <w:t>point de vue pédagogique et technique.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1AAACE9D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</w:rPr>
        <w:t xml:space="preserve">Les formateurs alterneront exposés théoriques et cas pratiques et veilleront à permettre aux stagiaires </w:t>
      </w:r>
      <w:r w:rsidRPr="00D67DC9">
        <w:rPr>
          <w:rFonts w:ascii="Titillium Web" w:hAnsi="Titillium Web"/>
        </w:rPr>
        <w:t xml:space="preserve">de disposer régulièrement de la possibilité de s’exprimer et poser des questions afin de faciliter le </w:t>
      </w:r>
      <w:r w:rsidRPr="00D67DC9">
        <w:rPr>
          <w:rFonts w:ascii="Titillium Web" w:eastAsia="Calibri" w:hAnsi="Titillium Web" w:cs="Calibri"/>
        </w:rPr>
        <w:t xml:space="preserve">transfert des connaissances.  </w:t>
      </w:r>
      <w:r w:rsidRPr="00D67DC9">
        <w:rPr>
          <w:rFonts w:ascii="Titillium Web" w:hAnsi="Titillium Web"/>
        </w:rPr>
        <w:t>Dans l’objectif de favoriser l’attention et l’écoute des participants, les supports numériques, dont les participants prennent connaissance via le partage d’écran, leur sont transmis à l’issue de la formation.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25C50FC3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 xml:space="preserve">Moyens permettant de suivre l’exécution de l’action de formation </w:t>
      </w:r>
      <w:r w:rsidRPr="00D67DC9">
        <w:rPr>
          <w:rFonts w:ascii="Titillium Web" w:hAnsi="Titillium Web"/>
        </w:rPr>
        <w:t>: La présence et l’assiduité des stagiaires seront vérifiées 2 fois par jour par l’organisme. A l’issue de la formation, un questionnaire d’évaluation et un questionnaire de satisfaction sur chacun des modules devr</w:t>
      </w:r>
      <w:r w:rsidRPr="00D67DC9">
        <w:rPr>
          <w:rFonts w:ascii="Titillium Web" w:eastAsia="Calibri" w:hAnsi="Titillium Web" w:cs="Calibri"/>
        </w:rPr>
        <w:t xml:space="preserve">ont être remplis par les </w:t>
      </w:r>
      <w:r w:rsidRPr="00D67DC9">
        <w:rPr>
          <w:rFonts w:ascii="Titillium Web" w:hAnsi="Titillium Web"/>
        </w:rPr>
        <w:t>stagiaires et transmis à l’organisme de formation.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13FA848F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Modalités d’évaluation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>: un questionnaire d’évaluation des acquis de la formation comportant des questions sur chacune des interventions devra être renseigné et remis à l’organisme de formation à l’issue de la formation.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0CBC17D3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Durée et tarif</w:t>
      </w:r>
      <w:r w:rsidRPr="00D67DC9">
        <w:rPr>
          <w:rFonts w:ascii="Titillium Web" w:eastAsia="Calibri" w:hAnsi="Titillium Web" w:cs="Calibri"/>
        </w:rPr>
        <w:t xml:space="preserve"> : 14 heures par session réparties sur deux journées de formation au tarif de 910 euros TTC la session. 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26EAC422" w14:textId="77777777" w:rsidR="00D67DC9" w:rsidRPr="00D67DC9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t>Validation</w:t>
      </w:r>
      <w:r w:rsidRPr="00D67DC9">
        <w:rPr>
          <w:rFonts w:ascii="Titillium Web" w:eastAsia="Calibri" w:hAnsi="Titillium Web" w:cs="Calibri"/>
        </w:rPr>
        <w:t xml:space="preserve"> </w:t>
      </w:r>
      <w:r w:rsidRPr="00D67DC9">
        <w:rPr>
          <w:rFonts w:ascii="Titillium Web" w:hAnsi="Titillium Web"/>
        </w:rPr>
        <w:t>: Délivrance d’une attestation de suivi de formation.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p w14:paraId="7A695059" w14:textId="6B63A640" w:rsidR="00D67DC9" w:rsidRPr="00AD3EAC" w:rsidRDefault="00D67DC9" w:rsidP="004521AB">
      <w:pPr>
        <w:ind w:left="-5"/>
        <w:rPr>
          <w:rFonts w:ascii="Titillium Web" w:hAnsi="Titillium Web"/>
        </w:rPr>
      </w:pPr>
      <w:r w:rsidRPr="00D67DC9">
        <w:rPr>
          <w:rFonts w:ascii="Titillium Web" w:eastAsia="Calibri" w:hAnsi="Titillium Web" w:cs="Calibri"/>
          <w:b/>
        </w:rPr>
        <w:lastRenderedPageBreak/>
        <w:t>Handicap/Accessibilité</w:t>
      </w:r>
      <w:r w:rsidRPr="00D67DC9">
        <w:rPr>
          <w:rFonts w:ascii="Titillium Web" w:eastAsia="Calibri" w:hAnsi="Titillium Web" w:cs="Calibri"/>
        </w:rPr>
        <w:t xml:space="preserve"> : Nos formations peuvent être accessibles aux personnes en situation de handicap. Merci de contacter notre référent handicap Estelle Person </w:t>
      </w:r>
      <w:r w:rsidRPr="00D67DC9">
        <w:rPr>
          <w:rFonts w:ascii="Titillium Web" w:hAnsi="Titillium Web"/>
        </w:rPr>
        <w:t>pour l’étude de la mise en œuvre d’aménagements et d’accompagnements éventuels :</w:t>
      </w:r>
      <w:r w:rsidRPr="00D67DC9">
        <w:rPr>
          <w:rFonts w:ascii="Titillium Web" w:eastAsia="Calibri" w:hAnsi="Titillium Web" w:cs="Calibri"/>
        </w:rPr>
        <w:t xml:space="preserve"> contact@fondationpourlecole.org</w:t>
      </w:r>
      <w:r w:rsidRPr="00D67DC9">
        <w:rPr>
          <w:rFonts w:ascii="Titillium Web" w:eastAsia="Calibri" w:hAnsi="Titillium Web" w:cs="Calibri"/>
          <w:sz w:val="24"/>
        </w:rPr>
        <w:t xml:space="preserve"> </w:t>
      </w:r>
    </w:p>
    <w:sectPr w:rsidR="00D67DC9" w:rsidRPr="00AD3EAC" w:rsidSect="00AD3EAC">
      <w:headerReference w:type="default" r:id="rId11"/>
      <w:footerReference w:type="default" r:id="rId12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BB3" w14:textId="77777777" w:rsidR="001563CE" w:rsidRDefault="001563CE" w:rsidP="00510669">
      <w:pPr>
        <w:spacing w:after="0" w:line="240" w:lineRule="auto"/>
      </w:pPr>
      <w:r>
        <w:separator/>
      </w:r>
    </w:p>
  </w:endnote>
  <w:endnote w:type="continuationSeparator" w:id="0">
    <w:p w14:paraId="4D206245" w14:textId="77777777" w:rsidR="001563CE" w:rsidRDefault="001563CE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E41A" w14:textId="77777777" w:rsidR="001563CE" w:rsidRDefault="001563CE" w:rsidP="00510669">
      <w:pPr>
        <w:spacing w:after="0" w:line="240" w:lineRule="auto"/>
      </w:pPr>
      <w:r>
        <w:separator/>
      </w:r>
    </w:p>
  </w:footnote>
  <w:footnote w:type="continuationSeparator" w:id="0">
    <w:p w14:paraId="7311E193" w14:textId="77777777" w:rsidR="001563CE" w:rsidRDefault="001563CE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563CE"/>
    <w:rsid w:val="00185B77"/>
    <w:rsid w:val="001957AE"/>
    <w:rsid w:val="001A1B14"/>
    <w:rsid w:val="001F3E6E"/>
    <w:rsid w:val="0023220E"/>
    <w:rsid w:val="00251A00"/>
    <w:rsid w:val="002861E8"/>
    <w:rsid w:val="002A3FF6"/>
    <w:rsid w:val="002A5EB7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D2EA8"/>
    <w:rsid w:val="009D4004"/>
    <w:rsid w:val="00A031AB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4</cp:revision>
  <cp:lastPrinted>2022-12-09T17:05:00Z</cp:lastPrinted>
  <dcterms:created xsi:type="dcterms:W3CDTF">2023-11-28T13:50:00Z</dcterms:created>
  <dcterms:modified xsi:type="dcterms:W3CDTF">2023-11-28T16:19:00Z</dcterms:modified>
</cp:coreProperties>
</file>